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E0C70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E9DB70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861515">
        <w:rPr>
          <w:rFonts w:ascii="Times New Roman" w:hAnsi="Times New Roman"/>
          <w:b w:val="0"/>
          <w:i/>
          <w:sz w:val="27"/>
        </w:rPr>
        <w:t>13</w:t>
      </w:r>
      <w:r w:rsidR="001551FE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1551FE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861515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784EE5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784EE5">
        <w:rPr>
          <w:rFonts w:ascii="Times New Roman" w:hAnsi="Times New Roman"/>
          <w:i/>
          <w:sz w:val="28"/>
        </w:rPr>
        <w:t>21</w:t>
      </w:r>
      <w:r>
        <w:rPr>
          <w:rFonts w:ascii="Times New Roman" w:hAnsi="Times New Roman"/>
          <w:i/>
          <w:sz w:val="28"/>
        </w:rPr>
        <w:t>/</w:t>
      </w:r>
      <w:r w:rsidR="001551F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15553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HAI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84EE5">
        <w:rPr>
          <w:rFonts w:ascii="Times New Roman" w:hAnsi="Times New Roman"/>
          <w:b/>
          <w:sz w:val="28"/>
          <w:szCs w:val="28"/>
          <w:u w:val="single"/>
        </w:rPr>
        <w:t xml:space="preserve">+ </w:t>
      </w:r>
      <w:r w:rsidR="00784EE5">
        <w:rPr>
          <w:rFonts w:ascii="Times New Roman" w:hAnsi="Times New Roman"/>
          <w:b/>
          <w:sz w:val="28"/>
          <w:szCs w:val="28"/>
          <w:u w:val="single"/>
        </w:rPr>
        <w:t xml:space="preserve">THỨ BẢY </w:t>
      </w:r>
      <w:r w:rsidR="008014C3">
        <w:rPr>
          <w:rFonts w:ascii="Times New Roman" w:hAnsi="Times New Roman"/>
          <w:b/>
          <w:sz w:val="28"/>
          <w:szCs w:val="28"/>
          <w:u w:val="single"/>
        </w:rPr>
        <w:t>(</w:t>
      </w:r>
      <w:r w:rsidR="00784EE5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784EE5">
        <w:rPr>
          <w:rFonts w:ascii="Times New Roman" w:hAnsi="Times New Roman"/>
          <w:b/>
          <w:sz w:val="28"/>
          <w:szCs w:val="28"/>
          <w:u w:val="single"/>
        </w:rPr>
        <w:t>16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1551FE">
        <w:rPr>
          <w:rFonts w:ascii="Times New Roman" w:hAnsi="Times New Roman"/>
          <w:b/>
          <w:sz w:val="28"/>
          <w:szCs w:val="28"/>
          <w:u w:val="single"/>
        </w:rPr>
        <w:t>6</w:t>
      </w:r>
      <w:r w:rsidR="00784EE5">
        <w:rPr>
          <w:rFonts w:ascii="Times New Roman" w:hAnsi="Times New Roman"/>
          <w:b/>
          <w:sz w:val="28"/>
          <w:szCs w:val="28"/>
          <w:u w:val="single"/>
        </w:rPr>
        <w:t xml:space="preserve"> đến ngày 21/6</w:t>
      </w:r>
      <w:bookmarkStart w:id="0" w:name="_GoBack"/>
      <w:bookmarkEnd w:id="0"/>
      <w:r w:rsidR="008014C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784EE5" w:rsidRDefault="00784EE5" w:rsidP="00784EE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cùng Các vị đại biểu Quốc hội tỉnh dự đợt 2 kỳ họp thứ 9, Quốc hội khóa XV.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Văn Nguyện  - Phó Chánh Văn phòng Đoàn ĐBQH và HĐND tỉnh; đ/c Nguyễn Minh Huy - Chuyên viên Phòng Công tác Quốc hội.</w:t>
      </w:r>
    </w:p>
    <w:p w:rsidR="00784EE5" w:rsidRPr="00164C6D" w:rsidRDefault="00784EE5" w:rsidP="00784EE5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784EE5" w:rsidRDefault="00784EE5" w:rsidP="00784EE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Đ</w:t>
      </w: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 tại Nhà Quốc hội.</w:t>
      </w: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A4" w:rsidRDefault="00CE12A4">
      <w:r>
        <w:separator/>
      </w:r>
    </w:p>
  </w:endnote>
  <w:endnote w:type="continuationSeparator" w:id="0">
    <w:p w:rsidR="00CE12A4" w:rsidRDefault="00C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A4" w:rsidRDefault="00CE12A4">
      <w:r>
        <w:separator/>
      </w:r>
    </w:p>
  </w:footnote>
  <w:footnote w:type="continuationSeparator" w:id="0">
    <w:p w:rsidR="00CE12A4" w:rsidRDefault="00CE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784EE5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D7C13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62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1FE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C6D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04BE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524"/>
    <w:rsid w:val="001B6A4B"/>
    <w:rsid w:val="001B6FB0"/>
    <w:rsid w:val="001B76C1"/>
    <w:rsid w:val="001B7CE4"/>
    <w:rsid w:val="001B7E22"/>
    <w:rsid w:val="001C0057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2F5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1B8C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7EC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F05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33E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58A4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984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88E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3F5F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4EE5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E742D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14C3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23DD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515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73D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0B2A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090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5E4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35C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A4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D3F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6D26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2E63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82F2B-902D-4191-9AAE-B77AEE1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118</cp:revision>
  <cp:lastPrinted>2025-03-28T01:47:00Z</cp:lastPrinted>
  <dcterms:created xsi:type="dcterms:W3CDTF">2024-12-25T09:23:00Z</dcterms:created>
  <dcterms:modified xsi:type="dcterms:W3CDTF">2025-06-15T05:02:00Z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